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686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4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Бандуровой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Янины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Бандурова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РФ, административный штраф в сумме </w:t>
      </w:r>
      <w:r>
        <w:rPr>
          <w:rStyle w:val="cat-Sumgrp-19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.2022 № 188105862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017052821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Бандурова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Бандуров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Бандуровой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.2022 № 188105862</w:t>
      </w:r>
      <w:r>
        <w:rPr>
          <w:rFonts w:ascii="Times New Roman" w:eastAsia="Times New Roman" w:hAnsi="Times New Roman" w:cs="Times New Roman"/>
          <w:sz w:val="28"/>
          <w:szCs w:val="28"/>
        </w:rPr>
        <w:t>21017052821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.2022; сведения об отсутствии оплаты административного штрафа к установленному сроку.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Бандуровой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Бандуровой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Бандуров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2023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686</w:t>
      </w:r>
      <w:r>
        <w:rPr>
          <w:rFonts w:ascii="Times New Roman" w:eastAsia="Times New Roman" w:hAnsi="Times New Roman" w:cs="Times New Roman"/>
          <w:sz w:val="18"/>
          <w:szCs w:val="18"/>
        </w:rPr>
        <w:t>-2602/2023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(Аппарат Губернатора Ханты-Мансийского автономного округа-Югры л/с 04872D01540), Банк: РКЦ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7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8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0410940600575006862320120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4rplc-4">
    <w:name w:val="cat-UserDefined grp-3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SumInWordsgrp-21rplc-28">
    <w:name w:val="cat-SumInWords grp-21 rplc-28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